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</w:pPr>
      <w:r>
        <w:rPr>
          <w:rFonts w:ascii="Calibri" w:cs="Calibri" w:eastAsia="Calibri" w:hAnsi="Calibri"/>
          <w:b/>
          <w:bCs/>
          <w:color w:val="0a101c"/>
          <w:sz w:val="44"/>
          <w:szCs w:val="44"/>
        </w:rPr>
        <w:t xml:space="preserve">CORPORATE TRAVEL POLICY</w:t>
      </w:r>
    </w:p>
    <w:p>
      <w:pPr>
        <w:spacing w:after="60"/>
      </w:pPr>
      <w:r>
        <w:rPr>
          <w:rFonts w:ascii="Calibri" w:cs="Calibri" w:eastAsia="Calibri" w:hAnsi="Calibri"/>
          <w:color w:val="6a7386"/>
          <w:sz w:val="24"/>
          <w:szCs w:val="24"/>
        </w:rPr>
        <w:t xml:space="preserve">[Company name] — Version [x.x] — Effective [date]</w:t>
      </w:r>
    </w:p>
    <w:p>
      <w:pPr>
        <w:pBdr>
          <w:bottom w:val="single" w:color="007ab3" w:sz="6" w:space="4"/>
        </w:pBdr>
        <w:spacing w:after="300"/>
      </w:pPr>
      <w:r>
        <w:rPr>
          <w:rFonts w:ascii="Calibri" w:cs="Calibri" w:eastAsia="Calibri" w:hAnsi="Calibri"/>
          <w:color w:val="6a7386"/>
          <w:sz w:val="22"/>
          <w:szCs w:val="22"/>
        </w:rPr>
        <w:t xml:space="preserve">Policy owner: [role] — Next review: [date]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How to use this template: replace every [bracketed] field, delete sections that do not apply, and have the result approved under your document-control process. Sections 5 and 8 are the ones most templates omit — they govern transport your organisation owns or leases, and the link between approval and payment. Guidance notes (in italics) explain intent and should be deleted from the final policy.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1. Purpose and scope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policy governs all travel undertaken for [Company] business by employees, contractors, and authorised visitors, on all transport modes: commercial flights, transport owned, leased, or chartered by [Company] (aircraft, vessels, vehicles), and accommodation including hotels, guesthouses, and camps.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Business travel is booked, approved, and paid under this policy. Private travel on [Company]-operated transport, where permitted, is governed by Section 5 and is paid by the traveller.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State the business/private boundary early. The cleanest control model keeps private travel on the same platform but entirely outside company money.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2. Roles and responsibilities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Traveller — books through approved channels, keeps bookings current, and cancels seats that will not be used.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Travel arranger — may book on behalf of travellers within the same rules; arranger bookings continue during any booking suspension of the traveller.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Approver — holds delegation of financial authority ([DFA reference]) and approves trips and claims within delegated limits.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Policy owner ([role]) — maintains this document, its machine-readable counterpart, and the exception log.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Name roles, not people. If a colleague can book on a banned traveller’s behalf, essential travel continues while behaviour is corrected.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3. Booking channels and approval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All business travel is booked through [approved channel/platform]; bookings made outside approved channels are not reimbursable unless an exception is approved under Section 11.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Trips require approval before booking where the estimated cost exceeds [amount] or the destination is [risk category]; approval is recorded with the booking, not in separate correspondence.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Booking windows: [class of travel] must be booked at least [X days] before departure; late requests route to [role] for approval.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Approval belongs in the booking flow. An approval that lives in an email thread cannot be audited against the trip record.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4. Commercial air travel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Class of travel: [economy] for flights under [X] hours; [premium/business] permitted for flights over [X] hours or where [criteria].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The lowest logical fare applies: the cheapest fare meeting the business need within [time window] of the preferred departure.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Loyalty benefits accrue to the traveller but must never determine carrier or routing choice.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5. Owned, leased, and chartered transport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This section governs seats on transport [Company] owns, leases, or charters — aircraft, vessels, buses, and vehicles. These seats carry no fare: the asset is paid for whether or not seats are used, so allocation is governed by priority and entitlement rather than price.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Priority: seats are allocated by the priority matrix in [Appendix/policy system], which ranks each passenger type and trip reason. Medical movements hold the highest priority. Business travel outranks private travel on the same departure.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Quotas: entitlement to travel is capped per [traveller/group/trip reason] at [N] sectors per [period]. Quota consumption is visible to the traveller at booking.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Booking windows: each passenger type may book from [X days] before departure, staging demand so higher-priority movements are protected.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No-shows and late cancellations: a missed departure or cancellation within [X hours] incurs [penalty points] scaled by how close to departure it occurs. Rescheduling to a same-day departure incurs no penalty — the seat was not wasted. Accumulating [N] points within [period] suspends self-booking for [duration]; a travel arranger may still book on the traveller’s behalf.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Freed seats: seats released by cancellation or no-show are reallocated to waiting travellers (go-shows) up to [X minutes] before departure.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Displacement: where a higher-priority traveller requires a full flight or sailing, the lowest-priority confirmed traveller is offloaded, notified with the reason, and rebooked on the next available departure.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Key-person separation: personnel designated under [continuity register] may not travel on the same departure.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This is the section generic templates omit, because most travel tools cannot enforce it. If your rules here are enforced by spreadsheets, expect drift; a machine-readable policy executed by a deterministic engine keeps every one of these clauses auditable. A public JSON Schema for this section is at unitytrip.com/specs/leased-travel-policy.schema.json.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6. Accommodation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Hotel bookings follow the rate caps in [Appendix] by city or region.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Camp and guesthouse rooms are allocated under the same priority and quota rules as transport seats (Section 5); room no-shows carry the same penalties as seat no-shows.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For remote operations the bed is as contended as the seat; governing them under one policy prevents the room becoming the loophole.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7. Ground transport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Travellers to the same site on the same day share vehicles where scheduled; pool vehicles are booked through [system].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Bus (BIBO) and drive (DIDO) rotations are booked as legs of the same journey as any flight, under the same policy record.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8. Budget approval and payment control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Every business booking passes budget approval under delegation of financial authority before commitment.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For business bookings, no payment is made without an approved claim reference. Claims must be submitted within [X days] of travel.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Private travel, where permitted, is paid by the traveller at booking and never touches company accounts.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This is the second commonly omitted section: the mechanical link between approval and payment. Stated as policy it is a rule; enforced at the point of booking it is a control.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9. Expense claims and reimbursement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Reimbursable categories and limits are set out in [Appendix]; receipts are required above [amount].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Claims are submitted through [system] with the trip reference, so every expense reconciles to a governed booking.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Per diems, where applicable, follow [rate table] and are not payable alongside receipted meals.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10. Duty of care and safety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[Company] maintains a live record of traveller location across all modes for the duration of each journey.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Travel to [risk categories] requires [training/clearance/insurance] before booking; the booking system enforces these prerequisites.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In an emergency, [role/desk] is the single point of contact; travellers follow rebooking instructions issued through [channel].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11. Compliance, exceptions, and audit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Exceptions require approval by [role] and are recorded in the exception log with the clause varied, the reason, and the approval.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Every booking decision must be reconstructable: what was requested, what the policy said at the time, and why the outcome followed.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Reproducibility, not accuracy, is the audit standard: the question a reviewer asks is whether a specific decision from a year ago can be explained from the record.</w:t>
      </w:r>
    </w:p>
    <w:p>
      <w:pPr>
        <w:pStyle w:val="Heading1"/>
        <w:spacing w:after="140" w:before="360"/>
      </w:pPr>
      <w:r>
        <w:rPr>
          <w:rFonts w:ascii="Calibri" w:cs="Calibri" w:eastAsia="Calibri" w:hAnsi="Calibri"/>
          <w:b/>
          <w:bCs/>
          <w:color w:val="0a101c"/>
          <w:sz w:val="30"/>
          <w:szCs w:val="30"/>
        </w:rPr>
        <w:t xml:space="preserve">12. Policy governance and review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This policy is owned by [role], reviewed every [period], and versioned; the version in force at booking time governs each decision.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Where a machine-readable counterpart of this policy exists, it is authoritative for automated decisions, and this document is authored from it — the two must not diverge.</w:t>
      </w:r>
    </w:p>
    <w:p>
      <w:pPr>
        <w:pBdr>
          <w:left w:val="single" w:color="007ab3" w:sz="12" w:space="8"/>
        </w:pBdr>
        <w:spacing w:after="200" w:before="60"/>
        <w:ind w:left="240"/>
      </w:pPr>
      <w:r>
        <w:rPr>
          <w:rFonts w:ascii="Calibri" w:cs="Calibri" w:eastAsia="Calibri" w:hAnsi="Calibri"/>
          <w:i/>
          <w:iCs/>
          <w:color w:val="6a7386"/>
          <w:sz w:val="20"/>
          <w:szCs w:val="20"/>
        </w:rPr>
        <w:t xml:space="preserve">Guidance: One pre-deconflicted, machine-precise policy document beats many overlapping PDFs. A free browser tool for building the leased-transport section is at leasedpolicybuilder.unitytrip.com.</w:t>
      </w:r>
    </w:p>
    <w:p>
      <w:pPr>
        <w:pBdr>
          <w:top w:val="single" w:color="d8dce4" w:sz="6" w:space="6"/>
        </w:pBdr>
        <w:spacing w:before="400"/>
      </w:pPr>
      <w:r>
        <w:rPr>
          <w:rFonts w:ascii="Calibri" w:cs="Calibri" w:eastAsia="Calibri" w:hAnsi="Calibri"/>
          <w:i/>
          <w:iCs/>
          <w:color w:val="6a7386"/>
          <w:sz w:val="18"/>
          <w:szCs w:val="18"/>
        </w:rPr>
        <w:t xml:space="preserve">Template provided by UnityTrip — workforce aviation logistics software. Guide: unitytrip.com/corporate-travel-policy-guide - Template page: unitytrip.com/corporate-travel-policy-template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a7386"/>
        <w:sz w:val="16"/>
        <w:szCs w:val="16"/>
      </w:rPr>
      <w:t xml:space="preserve">Corporate Travel Policy Template - unitytrip.com - page </w:t>
    </w:r>
    <w:r>
      <w:rPr>
        <w:color w:val="6a738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2026-07-25T00:59:14.722Z</dcterms:created>
  <dcterms:modified xsi:type="dcterms:W3CDTF">2026-07-25T00:59:14.726Z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