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200"/>
      </w:pPr>
      <w:r>
        <w:rPr>
          <w:rFonts w:ascii="Calibri" w:cs="Calibri" w:eastAsia="Calibri" w:hAnsi="Calibri"/>
          <w:b/>
          <w:bCs/>
          <w:color w:val="0a101c"/>
          <w:sz w:val="44"/>
          <w:szCs w:val="44"/>
        </w:rPr>
        <w:t xml:space="preserve">CORPORATE TRAVEL POLICY</w:t>
      </w:r>
    </w:p>
    <w:p>
      <w:pPr>
        <w:spacing w:after="60"/>
      </w:pPr>
      <w:r>
        <w:rPr>
          <w:rFonts w:ascii="Calibri" w:cs="Calibri" w:eastAsia="Calibri" w:hAnsi="Calibri"/>
          <w:color w:val="6a7386"/>
          <w:sz w:val="24"/>
          <w:szCs w:val="24"/>
        </w:rPr>
        <w:t xml:space="preserve">[Company name] — Version [x.x] — Effective [date]</w:t>
      </w:r>
    </w:p>
    <w:p>
      <w:pPr>
        <w:pBdr>
          <w:bottom w:val="single" w:color="007ab3" w:sz="6" w:space="4"/>
        </w:pBdr>
        <w:spacing w:after="300"/>
      </w:pPr>
      <w:r>
        <w:rPr>
          <w:rFonts w:ascii="Calibri" w:cs="Calibri" w:eastAsia="Calibri" w:hAnsi="Calibri"/>
          <w:color w:val="6a7386"/>
          <w:sz w:val="22"/>
          <w:szCs w:val="22"/>
        </w:rPr>
        <w:t xml:space="preserve">Policy owner: [role] — Next review: [date]</w:t>
      </w:r>
    </w:p>
    <w:p>
      <w:pPr>
        <w:spacing w:after="120"/>
      </w:pPr>
      <w:r>
        <w:rPr>
          <w:rFonts w:ascii="Calibri" w:cs="Calibri" w:eastAsia="Calibri" w:hAnsi="Calibri"/>
          <w:i/>
          <w:iCs/>
          <w:color w:val="6a7386"/>
          <w:sz w:val="20"/>
          <w:szCs w:val="20"/>
        </w:rPr>
        <w:t xml:space="preserve">How to use this template: replace every [bracketed] field, delete sections that do not apply, and have the result approved under your document-control process. Sections 5 and 8 are the ones most templates omit — they govern transport your organisation owns or leases, and the link between approval and payment. Guidance notes (in italics) explain intent and should be deleted from the final policy.</w:t>
      </w:r>
    </w:p>
    <w:p>
      <w:pPr>
        <w:pStyle w:val="Heading1"/>
        <w:spacing w:after="140" w:before="360"/>
      </w:pPr>
      <w:r>
        <w:rPr>
          <w:rFonts w:ascii="Calibri" w:cs="Calibri" w:eastAsia="Calibri" w:hAnsi="Calibri"/>
          <w:b/>
          <w:bCs/>
          <w:color w:val="0a101c"/>
          <w:sz w:val="30"/>
          <w:szCs w:val="30"/>
        </w:rPr>
        <w:t xml:space="preserve">1. Purpose and scope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>This policy governs all travel undertaken for [Company] business by employees, contractors, and authorised visitors, on all transport modes: commercial flights, transport owned, leased, or chartered by [Company] (aircraft, vessels, vehicles), and accommodation including hotels, guesthouses, and camps.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>Business travel is booked, approved, and paid under this policy. Private travel on [Company]-operated transport, where permitted, is governed by Section 5 and is paid by the traveller.</w:t>
      </w:r>
    </w:p>
    <w:p>
      <w:pPr>
        <w:pBdr>
          <w:left w:val="single" w:color="007ab3" w:sz="12" w:space="8"/>
        </w:pBdr>
        <w:spacing w:after="200" w:before="60"/>
        <w:ind w:left="240"/>
      </w:pPr>
      <w:r>
        <w:rPr>
          <w:rFonts w:ascii="Calibri" w:cs="Calibri" w:eastAsia="Calibri" w:hAnsi="Calibri"/>
          <w:i/>
          <w:iCs/>
          <w:color w:val="6a7386"/>
          <w:sz w:val="20"/>
          <w:szCs w:val="20"/>
        </w:rPr>
        <w:t xml:space="preserve">Guidance: State the business/private boundary early. The cleanest control model keeps private travel on the same platform but entirely outside company money.</w:t>
      </w:r>
    </w:p>
    <w:p>
      <w:pPr>
        <w:pStyle w:val="Heading1"/>
        <w:spacing w:after="140" w:before="360"/>
      </w:pPr>
      <w:r>
        <w:rPr>
          <w:rFonts w:ascii="Calibri" w:cs="Calibri" w:eastAsia="Calibri" w:hAnsi="Calibri"/>
          <w:b/>
          <w:bCs/>
          <w:color w:val="0a101c"/>
          <w:sz w:val="30"/>
          <w:szCs w:val="30"/>
        </w:rPr>
        <w:t xml:space="preserve">2. Roles and responsibilities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Traveller — books through approved channels, keeps bookings current, and cancels seats that will not be used.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Travel arranger — may book on behalf of travellers within the same rules; arranger bookings continue during any booking suspension of the traveller.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Approver — holds delegation of financial authority ([DFA reference]) and approves trips and claims within delegated limits.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Policy owner ([role]) — maintains this document, its machine-readable counterpart, and the exception log.</w:t>
      </w:r>
    </w:p>
    <w:p>
      <w:pPr>
        <w:pBdr>
          <w:left w:val="single" w:color="007ab3" w:sz="12" w:space="8"/>
        </w:pBdr>
        <w:spacing w:after="200" w:before="60"/>
        <w:ind w:left="240"/>
      </w:pPr>
      <w:r>
        <w:rPr>
          <w:rFonts w:ascii="Calibri" w:cs="Calibri" w:eastAsia="Calibri" w:hAnsi="Calibri"/>
          <w:i/>
          <w:iCs/>
          <w:color w:val="6a7386"/>
          <w:sz w:val="20"/>
          <w:szCs w:val="20"/>
        </w:rPr>
        <w:t xml:space="preserve">Guidance: Name roles, not people. If a colleague can book on a banned traveller’s behalf, essential travel continues while behaviour is corrected.</w:t>
      </w:r>
    </w:p>
    <w:p>
      <w:pPr>
        <w:pStyle w:val="Heading1"/>
        <w:spacing w:after="140" w:before="360"/>
      </w:pPr>
      <w:r>
        <w:rPr>
          <w:rFonts w:ascii="Calibri" w:cs="Calibri" w:eastAsia="Calibri" w:hAnsi="Calibri"/>
          <w:b/>
          <w:bCs/>
          <w:color w:val="0a101c"/>
          <w:sz w:val="30"/>
          <w:szCs w:val="30"/>
        </w:rPr>
        <w:t xml:space="preserve">3. Booking channels and approval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All business travel is booked through [approved channel/platform]; bookings made outside approved channels are not reimbursable unless an exception is approved under Section 11.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Trips require approval before booking where the estimated cost exceeds [amount] or the destination is [risk category]; approval is recorded with the booking, not in separate correspondence.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Booking windows: [class of travel] must be booked at least [X days] before departure; late requests route to [role] for approval.</w:t>
      </w:r>
    </w:p>
    <w:p>
      <w:pPr>
        <w:pBdr>
          <w:left w:val="single" w:color="007ab3" w:sz="12" w:space="8"/>
        </w:pBdr>
        <w:spacing w:after="200" w:before="60"/>
        <w:ind w:left="240"/>
      </w:pPr>
      <w:r>
        <w:rPr>
          <w:rFonts w:ascii="Calibri" w:cs="Calibri" w:eastAsia="Calibri" w:hAnsi="Calibri"/>
          <w:i/>
          <w:iCs/>
          <w:color w:val="6a7386"/>
          <w:sz w:val="20"/>
          <w:szCs w:val="20"/>
        </w:rPr>
        <w:t xml:space="preserve">Guidance: Approval belongs in the booking flow. An approval that lives in an email thread cannot be audited against the trip record.</w:t>
      </w:r>
    </w:p>
    <w:p>
      <w:pPr>
        <w:pStyle w:val="Heading1"/>
        <w:spacing w:after="140" w:before="360"/>
      </w:pPr>
      <w:r>
        <w:rPr>
          <w:rFonts w:ascii="Calibri" w:cs="Calibri" w:eastAsia="Calibri" w:hAnsi="Calibri"/>
          <w:b/>
          <w:bCs/>
          <w:color w:val="0a101c"/>
          <w:sz w:val="30"/>
          <w:szCs w:val="30"/>
        </w:rPr>
        <w:t xml:space="preserve">4. Commercial air travel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Class of travel: [economy] for flights under [X] hours; [premium/business] permitted for flights over [X] hours or where [criteria].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The lowest logical fare applies: the cheapest fare meeting the business need within [time window] of the preferred departure.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Loyalty benefits accrue to the traveller but must never determine carrier or routing choice.</w:t>
      </w:r>
    </w:p>
    <w:p>
      <w:pPr>
        <w:pStyle w:val="Heading1"/>
        <w:spacing w:after="140" w:before="360"/>
      </w:pPr>
      <w:r>
        <w:rPr>
          <w:rFonts w:ascii="Calibri" w:cs="Calibri" w:eastAsia="Calibri" w:hAnsi="Calibri"/>
          <w:b/>
          <w:bCs/>
          <w:color w:val="0a101c"/>
          <w:sz w:val="30"/>
          <w:szCs w:val="30"/>
        </w:rPr>
        <w:t xml:space="preserve">5. Owned, leased, and chartered transport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>This section governs seats on transport [Company] owns, leases, or charters — aircraft, vessels, buses, and vehicles. These seats carry no fare: the asset is paid for whether or not seats are used, so allocation is governed by priority and entitlement rather than price.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Priority: seats are allocated by the priority matrix in [Appendix/policy system], which ranks each passenger type and trip reason. Medical movements hold the highest priority. Business travel outranks private travel on the same departure.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Quotas: entitlement to travel is capped per [traveller/group/trip reason] at [N] sectors per [period]. Quota consumption is visible to the traveller at booking.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Booking windows: each passenger type may book from [X days] before departure, staging demand so higher-priority movements are protected.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No-shows and late cancellations: a missed departure or cancellation within [X hours] incurs [penalty points] scaled by how close to departure it occurs. Rescheduling to a same-day departure incurs no penalty — the seat was not wasted. Accumulating [N] points within [period] suspends self-booking for [duration]; a travel arranger may still book on the traveller’s behalf.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Freed seats: seats released by cancellation or no-show are reallocated to waiting travellers (go-shows) up to [X minutes] before departure.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Displacement: where a higher-priority traveller requires a full flight or sailing, the lowest-priority confirmed traveller is offloaded, notified with the reason, and rebooked on the next available departure.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Key-person separation: personnel designated under [continuity register] may not travel on the same departure.</w:t>
      </w:r>
    </w:p>
    <w:p>
      <w:pPr>
        <w:pBdr>
          <w:left w:val="single" w:color="007ab3" w:sz="12" w:space="8"/>
        </w:pBdr>
        <w:spacing w:after="200" w:before="60"/>
        <w:ind w:left="240"/>
      </w:pPr>
      <w:r>
        <w:rPr>
          <w:rFonts w:ascii="Calibri" w:cs="Calibri" w:eastAsia="Calibri" w:hAnsi="Calibri"/>
          <w:i/>
          <w:iCs/>
          <w:color w:val="6a7386"/>
          <w:sz w:val="20"/>
          <w:szCs w:val="20"/>
        </w:rPr>
        <w:t xml:space="preserve">Guidance: This is the section generic templates omit, because most travel tools cannot enforce it. If your rules here are enforced by spreadsheets, expect drift; a machine-readable policy executed by a deterministic engine keeps every one of these clauses auditable. A public JSON Schema for this section is at unitytrip.com/specs/leased-travel-policy.schema.json.</w:t>
      </w:r>
    </w:p>
    <w:p>
      <w:pPr>
        <w:pStyle w:val="Heading1"/>
        <w:spacing w:after="140" w:before="360"/>
      </w:pPr>
      <w:r>
        <w:rPr>
          <w:rFonts w:ascii="Calibri" w:cs="Calibri" w:eastAsia="Calibri" w:hAnsi="Calibri"/>
          <w:b/>
          <w:bCs/>
          <w:color w:val="0a101c"/>
          <w:sz w:val="30"/>
          <w:szCs w:val="30"/>
        </w:rPr>
        <w:t xml:space="preserve">6. Accommodation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Hotel bookings follow the rate caps in [Appendix] by city or region.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Camp and guesthouse rooms are allocated under the same priority and quota rules as transport seats (Section 5); room no-shows carry the same penalties as seat no-shows.</w:t>
      </w:r>
    </w:p>
    <w:p>
      <w:pPr>
        <w:pBdr>
          <w:left w:val="single" w:color="007ab3" w:sz="12" w:space="8"/>
        </w:pBdr>
        <w:spacing w:after="200" w:before="60"/>
        <w:ind w:left="240"/>
      </w:pPr>
      <w:r>
        <w:rPr>
          <w:rFonts w:ascii="Calibri" w:cs="Calibri" w:eastAsia="Calibri" w:hAnsi="Calibri"/>
          <w:i/>
          <w:iCs/>
          <w:color w:val="6a7386"/>
          <w:sz w:val="20"/>
          <w:szCs w:val="20"/>
        </w:rPr>
        <w:t xml:space="preserve">Guidance: For remote operations the bed is as contended as the seat; governing them under one policy prevents the room becoming the loophole.</w:t>
      </w:r>
    </w:p>
    <w:p>
      <w:pPr>
        <w:pStyle w:val="Heading1"/>
        <w:spacing w:after="140" w:before="360"/>
      </w:pPr>
      <w:r>
        <w:rPr>
          <w:rFonts w:ascii="Calibri" w:cs="Calibri" w:eastAsia="Calibri" w:hAnsi="Calibri"/>
          <w:b/>
          <w:bCs/>
          <w:color w:val="0a101c"/>
          <w:sz w:val="30"/>
          <w:szCs w:val="30"/>
        </w:rPr>
        <w:t xml:space="preserve">7. Ground transport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Travellers to the same site on the same day share vehicles where scheduled; pool vehicles are booked through [system].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Bus (BIBO) and drive (DIDO) rotations are booked as legs of the same journey as any flight, under the same policy record.</w:t>
      </w:r>
    </w:p>
    <w:p>
      <w:pPr>
        <w:pStyle w:val="Heading1"/>
        <w:spacing w:after="140" w:before="360"/>
      </w:pPr>
      <w:r>
        <w:rPr>
          <w:rFonts w:ascii="Calibri" w:cs="Calibri" w:eastAsia="Calibri" w:hAnsi="Calibri"/>
          <w:b/>
          <w:bCs/>
          <w:color w:val="0a101c"/>
          <w:sz w:val="30"/>
          <w:szCs w:val="30"/>
        </w:rPr>
        <w:t xml:space="preserve">8. Budget approval and payment control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Every business booking passes budget approval under delegation of financial authority before commitment.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For business bookings, no payment is made without an approved claim reference. Claims must be submitted within [X days] of travel.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Private travel, where permitted, is paid by the traveller at booking and never touches company accounts.</w:t>
      </w:r>
    </w:p>
    <w:p>
      <w:pPr>
        <w:pBdr>
          <w:left w:val="single" w:color="007ab3" w:sz="12" w:space="8"/>
        </w:pBdr>
        <w:spacing w:after="200" w:before="60"/>
        <w:ind w:left="240"/>
      </w:pPr>
      <w:r>
        <w:rPr>
          <w:rFonts w:ascii="Calibri" w:cs="Calibri" w:eastAsia="Calibri" w:hAnsi="Calibri"/>
          <w:i/>
          <w:iCs/>
          <w:color w:val="6a7386"/>
          <w:sz w:val="20"/>
          <w:szCs w:val="20"/>
        </w:rPr>
        <w:t xml:space="preserve">Guidance: This is the second commonly omitted section: the mechanical link between approval and payment. Stated as policy it is a rule; enforced at the point of booking it is a control.</w:t>
      </w:r>
    </w:p>
    <w:p>
      <w:pPr>
        <w:pStyle w:val="Heading1"/>
        <w:spacing w:after="140" w:before="360"/>
      </w:pPr>
      <w:r>
        <w:rPr>
          <w:rFonts w:ascii="Calibri" w:cs="Calibri" w:eastAsia="Calibri" w:hAnsi="Calibri"/>
          <w:b/>
          <w:bCs/>
          <w:color w:val="0a101c"/>
          <w:sz w:val="30"/>
          <w:szCs w:val="30"/>
        </w:rPr>
        <w:t xml:space="preserve">9. Expense claims and reimbursement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Reimbursable categories and limits are set out in [Appendix]; receipts are required above [amount].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Claims are submitted through [system] with the trip reference, so every expense reconciles to a governed booking.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Per diems, where applicable, follow [rate table] and are not payable alongside receipted meals.</w:t>
      </w:r>
    </w:p>
    <w:p>
      <w:pPr>
        <w:pStyle w:val="Heading1"/>
        <w:spacing w:after="140" w:before="360"/>
      </w:pPr>
      <w:r>
        <w:rPr>
          <w:rFonts w:ascii="Calibri" w:cs="Calibri" w:eastAsia="Calibri" w:hAnsi="Calibri"/>
          <w:b/>
          <w:bCs/>
          <w:color w:val="0a101c"/>
          <w:sz w:val="30"/>
          <w:szCs w:val="30"/>
        </w:rPr>
        <w:t xml:space="preserve">10. Duty of care and safety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[Company] maintains a live record of traveller location across all modes for the duration of each journey.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Travel to [risk categories] requires [training/clearance/insurance] before booking; the booking system enforces these prerequisites.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In an emergency, [role/desk] is the single point of contact; travellers follow rebooking instructions issued through [channel].</w:t>
      </w:r>
    </w:p>
    <w:p>
      <w:pPr>
        <w:pStyle w:val="Heading1"/>
        <w:spacing w:after="140" w:before="360"/>
      </w:pPr>
      <w:r>
        <w:rPr>
          <w:rFonts w:ascii="Calibri" w:cs="Calibri" w:eastAsia="Calibri" w:hAnsi="Calibri"/>
          <w:b/>
          <w:bCs/>
          <w:color w:val="0a101c"/>
          <w:sz w:val="30"/>
          <w:szCs w:val="30"/>
        </w:rPr>
        <w:t xml:space="preserve">11. Compliance, exceptions, and audit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Exceptions require approval by [role] and are recorded in the exception log with the clause varied, the reason, and the approval.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Every booking decision must be reconstructable: what was requested, what the policy said at the time, and why the outcome followed.</w:t>
      </w:r>
    </w:p>
    <w:p>
      <w:pPr>
        <w:pBdr>
          <w:left w:val="single" w:color="007ab3" w:sz="12" w:space="8"/>
        </w:pBdr>
        <w:spacing w:after="200" w:before="60"/>
        <w:ind w:left="240"/>
      </w:pPr>
      <w:r>
        <w:rPr>
          <w:rFonts w:ascii="Calibri" w:cs="Calibri" w:eastAsia="Calibri" w:hAnsi="Calibri"/>
          <w:i/>
          <w:iCs/>
          <w:color w:val="6a7386"/>
          <w:sz w:val="20"/>
          <w:szCs w:val="20"/>
        </w:rPr>
        <w:t xml:space="preserve">Guidance: Reproducibility, not accuracy, is the audit standard: the question a reviewer asks is whether a specific decision from a year ago can be explained from the record.</w:t>
      </w:r>
    </w:p>
    <w:p>
      <w:pPr>
        <w:pStyle w:val="Heading1"/>
        <w:spacing w:after="140" w:before="360"/>
      </w:pPr>
      <w:r>
        <w:rPr>
          <w:rFonts w:ascii="Calibri" w:cs="Calibri" w:eastAsia="Calibri" w:hAnsi="Calibri"/>
          <w:b/>
          <w:bCs/>
          <w:color w:val="0a101c"/>
          <w:sz w:val="30"/>
          <w:szCs w:val="30"/>
        </w:rPr>
        <w:t xml:space="preserve">12. Policy governance and review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This policy is owned by [role], reviewed every [period], and versioned; the version in force at booking time governs each decision.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Where a machine-readable counterpart of this policy exists, it is authoritative for automated decisions, and this document is authored from it — the two must not diverge.</w:t>
      </w:r>
    </w:p>
    <w:p>
      <w:pPr>
        <w:pBdr>
          <w:left w:val="single" w:color="007ab3" w:sz="12" w:space="8"/>
        </w:pBdr>
        <w:spacing w:after="200" w:before="60"/>
        <w:ind w:left="240"/>
      </w:pPr>
      <w:r>
        <w:rPr>
          <w:rFonts w:ascii="Calibri" w:cs="Calibri" w:eastAsia="Calibri" w:hAnsi="Calibri"/>
          <w:i/>
          <w:iCs/>
          <w:color w:val="6a7386"/>
          <w:sz w:val="20"/>
          <w:szCs w:val="20"/>
        </w:rPr>
        <w:t xml:space="preserve">Guidance: One pre-deconflicted, machine-precise policy document beats many overlapping PDFs. A free browser tool for building the leased-transport section is at leasedpolicybuilder.unitytrip.com.</w:t>
      </w:r>
    </w:p>
    <w:p>
      <w:pPr>
        <w:pBdr>
          <w:top w:val="single" w:color="d8dce4" w:sz="6" w:space="6"/>
        </w:pBdr>
        <w:spacing w:before="400"/>
      </w:pPr>
      <w:r>
        <w:rPr>
          <w:rFonts w:ascii="Calibri" w:cs="Calibri" w:eastAsia="Calibri" w:hAnsi="Calibri"/>
          <w:i/>
          <w:iCs/>
          <w:color w:val="6a7386"/>
          <w:sz w:val="18"/>
          <w:szCs w:val="18"/>
        </w:rPr>
        <w:t xml:space="preserve">Template provided by UnityTrip — workforce aviation logistics software. Guide: unitytrip.com/corporate-travel-policy-guide - Template page: unitytrip.com/corporate-travel-policy-template</w:t>
      </w:r>
    </w:p>
    <w:sectPr>
      <w:foot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6a7386"/>
        <w:sz w:val="16"/>
        <w:szCs w:val="16"/>
      </w:rPr>
      <w:t xml:space="preserve">Corporate Travel Policy Template - unitytrip.com - page </w:t>
    </w:r>
    <w:r>
      <w:rPr>
        <w:color w:val="6a7386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20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22222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2026-07-25T00:59:14.722Z</dcterms:created>
  <dcterms:modified xsi:type="dcterms:W3CDTF">2026-07-25T00:59:14.726Z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